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BFB" w:rsidRDefault="00CA5BFB" w:rsidP="00CA5BFB">
      <w:pPr>
        <w:pStyle w:val="Balk1"/>
        <w:rPr>
          <w:lang w:val="tr-TR"/>
        </w:rPr>
      </w:pPr>
      <w:r>
        <w:rPr>
          <w:lang w:val="tr-TR"/>
        </w:rPr>
        <w:t>EK</w:t>
      </w:r>
      <w:r>
        <w:rPr>
          <w:lang w:val="tr-TR"/>
        </w:rPr>
        <w:t xml:space="preserve"> 1:</w:t>
      </w:r>
    </w:p>
    <w:p w:rsidR="00CA5BFB" w:rsidRDefault="00CA5BFB" w:rsidP="00CA5BFB">
      <w:pPr>
        <w:pStyle w:val="Balk1"/>
        <w:rPr>
          <w:lang w:val="tr-TR"/>
        </w:rPr>
      </w:pPr>
      <w:r>
        <w:rPr>
          <w:lang w:val="tr-TR"/>
        </w:rPr>
        <w:t>Önemli Bulgular</w:t>
      </w:r>
    </w:p>
    <w:p w:rsidR="00CA5BFB" w:rsidRPr="00CA5BFB" w:rsidRDefault="00CA5BFB" w:rsidP="00CA5BFB">
      <w:pPr>
        <w:rPr>
          <w:lang w:val="tr-TR"/>
        </w:rPr>
      </w:pPr>
    </w:p>
    <w:p w:rsidR="00CA5BFB" w:rsidRDefault="00CA5BFB" w:rsidP="00CA5BFB">
      <w:pPr>
        <w:rPr>
          <w:rFonts w:cs="Times New Roman"/>
          <w:lang w:val="tr-TR"/>
        </w:rPr>
      </w:pPr>
      <w:r w:rsidRPr="007E1939">
        <w:rPr>
          <w:rFonts w:cs="Times New Roman"/>
          <w:b/>
          <w:lang w:val="tr-TR"/>
        </w:rPr>
        <w:t>2013 yılında en fazla hasılaya 117 milyar dolar (</w:t>
      </w:r>
      <w:r>
        <w:rPr>
          <w:rFonts w:cs="Times New Roman"/>
          <w:b/>
          <w:lang w:val="tr-TR"/>
        </w:rPr>
        <w:t xml:space="preserve">sabit </w:t>
      </w:r>
      <w:r w:rsidRPr="007E1939">
        <w:rPr>
          <w:rFonts w:cs="Times New Roman"/>
          <w:b/>
          <w:lang w:val="tr-TR"/>
        </w:rPr>
        <w:t>2005) ile İstanbul ili sahiptir. İstanbul’u yaklaşık 52 milyar dolar (</w:t>
      </w:r>
      <w:r>
        <w:rPr>
          <w:rFonts w:cs="Times New Roman"/>
          <w:b/>
          <w:lang w:val="tr-TR"/>
        </w:rPr>
        <w:t xml:space="preserve">sabit </w:t>
      </w:r>
      <w:r w:rsidRPr="007E1939">
        <w:rPr>
          <w:rFonts w:cs="Times New Roman"/>
          <w:b/>
          <w:lang w:val="tr-TR"/>
        </w:rPr>
        <w:t>2005) ile İzmir ve Ankara takip etmektedir.</w:t>
      </w:r>
      <w:r>
        <w:rPr>
          <w:rFonts w:cs="Times New Roman"/>
          <w:lang w:val="tr-TR"/>
        </w:rPr>
        <w:t xml:space="preserve"> İstanbul ili 2013 yılında tek başına Türkiye’nin GSYH’nin 6’da 1’ni oluşturmaktadır. İlk üç sıradaki İstanbul, Ankara ve İzmir ise aynı yıl için Türkiye GSYH’nin yaklaşık 10’da 4’nü oluşturmaktadır. Ayrıca, 2013 yılında İstanbul’un GSYH’si, Romanya ve Macaristan’ın GSYH’yle neredeyse aynı düzeydedir; Bulgaristan, Hırvatistan ve Azerbaycan gibi ülkelerinkinden ise yüksektir. Aynı yıl için ilk üç sıradaki ilimizin toplam GSYH’yi, Finlandiya, İrlanda ve Malezya gibi ülkelerinkiyle neredeyse aynı düzeydeyken; Portekiz, İsrail ve Yunanistan gibi ülkelerden yüksektir. Diğer bir değişle, 2013 yılında İstanbul, dünyadaki 252 ülkenin 143’ünden; Ankara ve İzmir’le birlikte ise 163’ünden daha büyük GSYH’ye sahiptir</w:t>
      </w:r>
      <w:r>
        <w:rPr>
          <w:rStyle w:val="DipnotBavurusu"/>
          <w:rFonts w:cs="Times New Roman"/>
          <w:lang w:val="tr-TR"/>
        </w:rPr>
        <w:footnoteReference w:id="1"/>
      </w:r>
      <w:r>
        <w:rPr>
          <w:rFonts w:cs="Times New Roman"/>
          <w:lang w:val="tr-TR"/>
        </w:rPr>
        <w:t xml:space="preserve">. </w:t>
      </w:r>
    </w:p>
    <w:p w:rsidR="00CA5BFB" w:rsidRPr="00E367D2" w:rsidRDefault="00CA5BFB" w:rsidP="00CA5BFB">
      <w:pPr>
        <w:rPr>
          <w:rFonts w:cs="Times New Roman"/>
          <w:noProof/>
          <w:color w:val="000000" w:themeColor="text1"/>
          <w:lang w:val="tr-TR" w:eastAsia="tr-TR"/>
        </w:rPr>
      </w:pPr>
      <w:r w:rsidRPr="00E367D2">
        <w:rPr>
          <w:rFonts w:cs="Times New Roman"/>
          <w:b/>
          <w:color w:val="000000" w:themeColor="text1"/>
          <w:lang w:val="tr-TR"/>
        </w:rPr>
        <w:t xml:space="preserve">En düşük GSYH değerine sahip olan ilimiz Ardahan’dır (300 milyon dolar). Ardahan’ı </w:t>
      </w:r>
      <w:r>
        <w:rPr>
          <w:rFonts w:cs="Times New Roman"/>
          <w:b/>
          <w:color w:val="000000" w:themeColor="text1"/>
          <w:lang w:val="tr-TR"/>
        </w:rPr>
        <w:t xml:space="preserve">yaklaşık benzer GSYH düzeyinde </w:t>
      </w:r>
      <w:r w:rsidRPr="00E367D2">
        <w:rPr>
          <w:rFonts w:cs="Times New Roman"/>
          <w:b/>
          <w:color w:val="000000" w:themeColor="text1"/>
          <w:lang w:val="tr-TR"/>
        </w:rPr>
        <w:t>sırasıyla Bayburt, Tunceli, Hakkâri ve Iğdır izlemektedir.</w:t>
      </w:r>
      <w:r w:rsidRPr="00E367D2">
        <w:rPr>
          <w:rFonts w:cs="Times New Roman"/>
          <w:i/>
          <w:noProof/>
          <w:color w:val="000000" w:themeColor="text1"/>
          <w:lang w:val="tr-TR" w:eastAsia="tr-TR"/>
        </w:rPr>
        <w:t xml:space="preserve"> </w:t>
      </w:r>
      <w:r>
        <w:rPr>
          <w:rFonts w:cs="Times New Roman"/>
          <w:noProof/>
          <w:color w:val="000000" w:themeColor="text1"/>
          <w:lang w:val="tr-TR" w:eastAsia="tr-TR"/>
        </w:rPr>
        <w:t>Bu beş ilin GSYH değerlerinin toplamı Maldiv Adaların’nın ve Karadağ’ın GSYH değerine yakınken; Afrika’daki Burundi ve Avrupa’daki Andora’dan yüksektir. Ayrıca, bu illerin toplam GSYH değeri dünyanın 33 ülkesinin GSYH değerinden daha büyüktür.</w:t>
      </w:r>
    </w:p>
    <w:p w:rsidR="00CA5BFB" w:rsidRDefault="00CA5BFB" w:rsidP="00CA5BFB">
      <w:pPr>
        <w:rPr>
          <w:rFonts w:cs="Times New Roman"/>
          <w:lang w:val="tr-TR"/>
        </w:rPr>
      </w:pPr>
      <w:r>
        <w:rPr>
          <w:rFonts w:cs="Times New Roman"/>
          <w:b/>
          <w:noProof/>
          <w:lang w:val="tr-TR" w:eastAsia="tr-TR"/>
        </w:rPr>
        <mc:AlternateContent>
          <mc:Choice Requires="wps">
            <w:drawing>
              <wp:anchor distT="0" distB="0" distL="114300" distR="114300" simplePos="0" relativeHeight="251659264" behindDoc="0" locked="0" layoutInCell="1" allowOverlap="1" wp14:anchorId="288C85EC" wp14:editId="31FA856D">
                <wp:simplePos x="0" y="0"/>
                <wp:positionH relativeFrom="column">
                  <wp:posOffset>-269240</wp:posOffset>
                </wp:positionH>
                <wp:positionV relativeFrom="paragraph">
                  <wp:posOffset>3733800</wp:posOffset>
                </wp:positionV>
                <wp:extent cx="629285" cy="0"/>
                <wp:effectExtent l="0" t="0" r="18415" b="19050"/>
                <wp:wrapNone/>
                <wp:docPr id="10" name="Düz Bağlayıcı 10"/>
                <wp:cNvGraphicFramePr/>
                <a:graphic xmlns:a="http://schemas.openxmlformats.org/drawingml/2006/main">
                  <a:graphicData uri="http://schemas.microsoft.com/office/word/2010/wordprocessingShape">
                    <wps:wsp>
                      <wps:cNvCnPr/>
                      <wps:spPr>
                        <a:xfrm>
                          <a:off x="0" y="0"/>
                          <a:ext cx="6292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üz Bağlayıcı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pt,294pt" to="28.3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" strokecolor="#4579b8 [3044]"/>
            </w:pict>
          </mc:Fallback>
        </mc:AlternateContent>
      </w:r>
      <w:r w:rsidRPr="007E1939">
        <w:rPr>
          <w:rFonts w:cs="Times New Roman"/>
          <w:b/>
          <w:lang w:val="tr-TR"/>
        </w:rPr>
        <w:t xml:space="preserve">Genel olarak illerin 2001 ile 2013 yılları arasındaki büyüme trendi Türkiye’nin büyüme </w:t>
      </w:r>
      <w:proofErr w:type="gramStart"/>
      <w:r w:rsidRPr="007E1939">
        <w:rPr>
          <w:rFonts w:cs="Times New Roman"/>
          <w:b/>
          <w:lang w:val="tr-TR"/>
        </w:rPr>
        <w:t>trendiyle</w:t>
      </w:r>
      <w:proofErr w:type="gramEnd"/>
      <w:r w:rsidRPr="007E1939">
        <w:rPr>
          <w:rFonts w:cs="Times New Roman"/>
          <w:b/>
          <w:lang w:val="tr-TR"/>
        </w:rPr>
        <w:t xml:space="preserve"> oldukça benzerdir. İllerin </w:t>
      </w:r>
      <w:r>
        <w:rPr>
          <w:rFonts w:cs="Times New Roman"/>
          <w:b/>
          <w:lang w:val="tr-TR"/>
        </w:rPr>
        <w:t xml:space="preserve">neredeyse </w:t>
      </w:r>
      <w:r w:rsidRPr="007E1939">
        <w:rPr>
          <w:rFonts w:cs="Times New Roman"/>
          <w:b/>
          <w:lang w:val="tr-TR"/>
        </w:rPr>
        <w:t>hepsi 2008 bunalımından sonra hızlı büyüme performansı</w:t>
      </w:r>
      <w:r>
        <w:rPr>
          <w:rFonts w:cs="Times New Roman"/>
          <w:b/>
          <w:lang w:val="tr-TR"/>
        </w:rPr>
        <w:t xml:space="preserve"> </w:t>
      </w:r>
      <w:r w:rsidRPr="00B32C1A">
        <w:rPr>
          <w:rFonts w:cs="Times New Roman"/>
          <w:i/>
          <w:lang w:val="tr-TR"/>
        </w:rPr>
        <w:t>(</w:t>
      </w:r>
      <w:r w:rsidRPr="00B32C1A">
        <w:rPr>
          <w:rFonts w:cs="Times New Roman"/>
          <w:i/>
        </w:rPr>
        <w:t>recovery</w:t>
      </w:r>
      <w:r w:rsidRPr="00B32C1A">
        <w:rPr>
          <w:rFonts w:cs="Times New Roman"/>
          <w:i/>
          <w:lang w:val="tr-TR"/>
        </w:rPr>
        <w:t>)</w:t>
      </w:r>
      <w:r w:rsidRPr="007E1939">
        <w:rPr>
          <w:rFonts w:cs="Times New Roman"/>
          <w:b/>
          <w:lang w:val="tr-TR"/>
        </w:rPr>
        <w:t xml:space="preserve"> sergilemiştir</w:t>
      </w:r>
      <w:r>
        <w:rPr>
          <w:rFonts w:cs="Times New Roman"/>
          <w:b/>
          <w:lang w:val="tr-TR"/>
        </w:rPr>
        <w:t xml:space="preserve"> (Tablo 1)</w:t>
      </w:r>
      <w:r w:rsidRPr="007E1939">
        <w:rPr>
          <w:rFonts w:cs="Times New Roman"/>
          <w:b/>
          <w:lang w:val="tr-TR"/>
        </w:rPr>
        <w:t>.</w:t>
      </w:r>
      <w:r>
        <w:rPr>
          <w:rFonts w:cs="Times New Roman"/>
          <w:lang w:val="tr-TR"/>
        </w:rPr>
        <w:t xml:space="preserve"> Diğer yandan 2008 küresel krizinden en fazla etkilenen illerimizden biri, İstanbul’dur. İstanbul’un GSYH’si 2008’den 2009’a %6,8 daralmıştır. 2009’daki dipten sonra 2010 yılındaki en yavaş toparlanma yine İstanbul’da gerçekleşmiştir (%5,7 büyüme). 2008 krizinden az etkilenen ilimiz ise Hatay’dır. Hatay ekonomisi 2009’den 2008’e sadece %0,4 daralmıştır. </w:t>
      </w:r>
    </w:p>
    <w:p w:rsidR="00CA5BFB" w:rsidRDefault="00D45EA8" w:rsidP="00CA5BFB">
      <w:pPr>
        <w:rPr>
          <w:rFonts w:cs="Times New Roman"/>
          <w:lang w:val="tr-TR"/>
        </w:rPr>
      </w:pPr>
      <w:r>
        <w:rPr>
          <w:rFonts w:cs="Times New Roman"/>
          <w:b/>
          <w:noProof/>
          <w:lang w:val="tr-TR" w:eastAsia="tr-TR"/>
        </w:rPr>
        <mc:AlternateContent>
          <mc:Choice Requires="wps">
            <w:drawing>
              <wp:anchor distT="0" distB="0" distL="114300" distR="114300" simplePos="0" relativeHeight="251660288" behindDoc="0" locked="0" layoutInCell="1" allowOverlap="1">
                <wp:simplePos x="0" y="0"/>
                <wp:positionH relativeFrom="column">
                  <wp:posOffset>-461645</wp:posOffset>
                </wp:positionH>
                <wp:positionV relativeFrom="paragraph">
                  <wp:posOffset>2214245</wp:posOffset>
                </wp:positionV>
                <wp:extent cx="977900" cy="203200"/>
                <wp:effectExtent l="0" t="0" r="0" b="6350"/>
                <wp:wrapNone/>
                <wp:docPr id="1" name="Dikdörtgen 1"/>
                <wp:cNvGraphicFramePr/>
                <a:graphic xmlns:a="http://schemas.openxmlformats.org/drawingml/2006/main">
                  <a:graphicData uri="http://schemas.microsoft.com/office/word/2010/wordprocessingShape">
                    <wps:wsp>
                      <wps:cNvSpPr/>
                      <wps:spPr>
                        <a:xfrm>
                          <a:off x="0" y="0"/>
                          <a:ext cx="977900" cy="2032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Dikdörtgen 1" o:spid="_x0000_s1026" style="position:absolute;margin-left:-36.35pt;margin-top:174.35pt;width:77pt;height:1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" fillcolor="white [3212]" stroked="f" strokeweight="2pt"/>
            </w:pict>
          </mc:Fallback>
        </mc:AlternateContent>
      </w:r>
      <w:r w:rsidR="00CA5BFB" w:rsidRPr="00E64314">
        <w:rPr>
          <w:rFonts w:cs="Times New Roman"/>
          <w:b/>
          <w:lang w:val="tr-TR"/>
        </w:rPr>
        <w:t>2001-2013 yılları arasında en fazla büyüyen ilimiz %146</w:t>
      </w:r>
      <w:r w:rsidR="00CA5BFB">
        <w:rPr>
          <w:rFonts w:cs="Times New Roman"/>
          <w:b/>
          <w:lang w:val="tr-TR"/>
        </w:rPr>
        <w:t xml:space="preserve"> ile Hatay’dır (Şekil 1</w:t>
      </w:r>
      <w:r w:rsidR="00CA5BFB" w:rsidRPr="00E64314">
        <w:rPr>
          <w:rFonts w:cs="Times New Roman"/>
          <w:b/>
          <w:lang w:val="tr-TR"/>
        </w:rPr>
        <w:t>).</w:t>
      </w:r>
      <w:r w:rsidR="00CA5BFB">
        <w:rPr>
          <w:rFonts w:cs="Times New Roman"/>
          <w:lang w:val="tr-TR"/>
        </w:rPr>
        <w:t xml:space="preserve"> 2001-2013 yılları arasında en fazla büyüyen ilk 10 ilin içinde 2001’den önce yakın zamanda il statüsüne kavuşan Yalova, Düzce ve Osmaniye bulunmaktadır</w:t>
      </w:r>
      <w:r w:rsidR="00CA5BFB">
        <w:rPr>
          <w:rStyle w:val="DipnotBavurusu"/>
          <w:rFonts w:cs="Times New Roman"/>
          <w:lang w:val="tr-TR"/>
        </w:rPr>
        <w:footnoteReference w:id="2"/>
      </w:r>
      <w:r w:rsidR="00CA5BFB">
        <w:rPr>
          <w:rFonts w:cs="Times New Roman"/>
          <w:lang w:val="tr-TR"/>
        </w:rPr>
        <w:t>. 49 ilimiz 2001-2013 yılları arasında Türkiye ortalamasının üzerinde büyürken, İstanbul ve Kocaeli’nin de içinde bulunduğu 32 İlimiz ortalamanın gerisinde kalmıştır</w:t>
      </w:r>
      <w:r w:rsidR="00CA5BFB">
        <w:rPr>
          <w:rStyle w:val="DipnotBavurusu"/>
          <w:rFonts w:cs="Times New Roman"/>
          <w:lang w:val="tr-TR"/>
        </w:rPr>
        <w:footnoteReference w:id="3"/>
      </w:r>
      <w:r w:rsidR="00CA5BFB">
        <w:rPr>
          <w:rFonts w:cs="Times New Roman"/>
          <w:lang w:val="tr-TR"/>
        </w:rPr>
        <w:t>.  Buna göre, İstanbul en az büyüyen illerin arasında bulunmaktadır. Diğer yandan, İstanbul Türkiye’nin her 1 puanlık ekonomik büyümesine 0,2 puanla en fazla katkı veren ildir. Böyle büyük bir ekonominin, küçük illerin ekonomisi kadar hızlı büyü</w:t>
      </w:r>
      <w:bookmarkStart w:id="0" w:name="_GoBack"/>
      <w:bookmarkEnd w:id="0"/>
      <w:r w:rsidR="00CA5BFB">
        <w:rPr>
          <w:rFonts w:cs="Times New Roman"/>
          <w:lang w:val="tr-TR"/>
        </w:rPr>
        <w:t xml:space="preserve">memesi beklenilen bir durumdur. </w:t>
      </w:r>
    </w:p>
    <w:p w:rsidR="00CA5BFB" w:rsidRPr="00B9529B" w:rsidRDefault="00CA5BFB" w:rsidP="00CA5BFB">
      <w:pPr>
        <w:pStyle w:val="ResimYazs"/>
        <w:keepNext/>
        <w:rPr>
          <w:rFonts w:cs="Times New Roman"/>
          <w:color w:val="000000" w:themeColor="text1"/>
          <w:sz w:val="22"/>
          <w:szCs w:val="22"/>
        </w:rPr>
      </w:pPr>
      <w:r w:rsidRPr="00E10638">
        <w:rPr>
          <w:rFonts w:cs="Times New Roman"/>
          <w:color w:val="000000" w:themeColor="text1"/>
          <w:sz w:val="22"/>
          <w:szCs w:val="22"/>
          <w:lang w:val="tr-TR"/>
        </w:rPr>
        <w:lastRenderedPageBreak/>
        <w:t xml:space="preserve">Şekil </w:t>
      </w:r>
      <w:r>
        <w:rPr>
          <w:rFonts w:cs="Times New Roman"/>
          <w:color w:val="000000" w:themeColor="text1"/>
          <w:sz w:val="22"/>
          <w:szCs w:val="22"/>
          <w:lang w:val="tr-TR"/>
        </w:rPr>
        <w:t>1</w:t>
      </w:r>
      <w:r w:rsidRPr="00E10638">
        <w:rPr>
          <w:rFonts w:cs="Times New Roman"/>
          <w:color w:val="000000" w:themeColor="text1"/>
          <w:sz w:val="22"/>
          <w:szCs w:val="22"/>
          <w:lang w:val="tr-TR"/>
        </w:rPr>
        <w:t>: İllerin 2001-2013 Yılları Arası Dönemli</w:t>
      </w:r>
      <w:r>
        <w:rPr>
          <w:rFonts w:cs="Times New Roman"/>
          <w:color w:val="000000" w:themeColor="text1"/>
          <w:sz w:val="22"/>
          <w:szCs w:val="22"/>
          <w:lang w:val="tr-TR"/>
        </w:rPr>
        <w:t>k</w:t>
      </w:r>
      <w:r w:rsidRPr="00E10638">
        <w:rPr>
          <w:rFonts w:cs="Times New Roman"/>
          <w:color w:val="000000" w:themeColor="text1"/>
          <w:sz w:val="22"/>
          <w:szCs w:val="22"/>
          <w:lang w:val="tr-TR"/>
        </w:rPr>
        <w:t xml:space="preserve"> Büyümesi</w:t>
      </w:r>
      <w:r w:rsidRPr="00B9529B">
        <w:rPr>
          <w:rFonts w:cs="Times New Roman"/>
          <w:color w:val="000000" w:themeColor="text1"/>
          <w:sz w:val="22"/>
          <w:szCs w:val="22"/>
        </w:rPr>
        <w:t xml:space="preserve"> (%)</w:t>
      </w:r>
    </w:p>
    <w:p w:rsidR="00CA5BFB" w:rsidRDefault="00CA5BFB" w:rsidP="00CA5BFB">
      <w:pPr>
        <w:spacing w:line="240" w:lineRule="auto"/>
        <w:ind w:left="-709"/>
        <w:contextualSpacing/>
        <w:rPr>
          <w:rFonts w:cs="Times New Roman"/>
          <w:i/>
          <w:lang w:val="tr-TR"/>
        </w:rPr>
      </w:pPr>
      <w:r>
        <w:rPr>
          <w:rFonts w:cs="Times New Roman"/>
          <w:i/>
          <w:noProof/>
          <w:lang w:val="tr-TR" w:eastAsia="tr-TR"/>
        </w:rPr>
        <w:drawing>
          <wp:inline distT="0" distB="0" distL="0" distR="0" wp14:anchorId="72DD8681" wp14:editId="377DEFE3">
            <wp:extent cx="6457950" cy="1997793"/>
            <wp:effectExtent l="0" t="0" r="0" b="254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png"/>
                    <pic:cNvPicPr/>
                  </pic:nvPicPr>
                  <pic:blipFill>
                    <a:blip r:embed="rId8">
                      <a:extLst>
                        <a:ext uri="{28A0092B-C50C-407E-A947-70E740481C1C}">
                          <a14:useLocalDpi xmlns:a14="http://schemas.microsoft.com/office/drawing/2010/main" val="0"/>
                        </a:ext>
                      </a:extLst>
                    </a:blip>
                    <a:stretch>
                      <a:fillRect/>
                    </a:stretch>
                  </pic:blipFill>
                  <pic:spPr>
                    <a:xfrm>
                      <a:off x="0" y="0"/>
                      <a:ext cx="6471714" cy="2002051"/>
                    </a:xfrm>
                    <a:prstGeom prst="rect">
                      <a:avLst/>
                    </a:prstGeom>
                  </pic:spPr>
                </pic:pic>
              </a:graphicData>
            </a:graphic>
          </wp:inline>
        </w:drawing>
      </w:r>
      <w:r w:rsidRPr="004E4409">
        <w:rPr>
          <w:rFonts w:cs="Times New Roman"/>
          <w:i/>
          <w:lang w:val="tr-TR"/>
        </w:rPr>
        <w:t xml:space="preserve"> </w:t>
      </w:r>
    </w:p>
    <w:p w:rsidR="00CA5BFB" w:rsidRDefault="00CA5BFB" w:rsidP="00CA5BFB">
      <w:pPr>
        <w:spacing w:line="240" w:lineRule="auto"/>
        <w:ind w:left="-851" w:firstLine="993"/>
        <w:contextualSpacing/>
        <w:rPr>
          <w:rFonts w:cs="Times New Roman"/>
          <w:i/>
          <w:sz w:val="20"/>
          <w:lang w:val="tr-TR"/>
        </w:rPr>
      </w:pPr>
      <w:r w:rsidRPr="0084201E">
        <w:rPr>
          <w:rFonts w:cs="Times New Roman"/>
          <w:i/>
          <w:sz w:val="20"/>
          <w:lang w:val="tr-TR"/>
        </w:rPr>
        <w:t>Hesaplama: TEPAV</w:t>
      </w:r>
    </w:p>
    <w:p w:rsidR="00CA5BFB" w:rsidRDefault="00CA5BFB" w:rsidP="00CA5BFB">
      <w:pPr>
        <w:spacing w:line="240" w:lineRule="auto"/>
        <w:ind w:left="-851" w:firstLine="993"/>
        <w:contextualSpacing/>
        <w:rPr>
          <w:rFonts w:cs="Times New Roman"/>
          <w:i/>
          <w:sz w:val="20"/>
          <w:lang w:val="tr-TR"/>
        </w:rPr>
      </w:pPr>
    </w:p>
    <w:p w:rsidR="00CA5BFB" w:rsidRDefault="00CA5BFB" w:rsidP="00CA5BFB">
      <w:pPr>
        <w:spacing w:line="240" w:lineRule="auto"/>
        <w:ind w:left="-851" w:firstLine="993"/>
        <w:contextualSpacing/>
        <w:rPr>
          <w:rFonts w:cs="Times New Roman"/>
          <w:i/>
          <w:sz w:val="20"/>
          <w:lang w:val="tr-TR"/>
        </w:rPr>
      </w:pPr>
    </w:p>
    <w:p w:rsidR="00CA5BFB" w:rsidRDefault="00CA5BFB" w:rsidP="00CA5BFB">
      <w:pPr>
        <w:spacing w:line="240" w:lineRule="auto"/>
        <w:ind w:left="-851" w:firstLine="993"/>
        <w:contextualSpacing/>
        <w:rPr>
          <w:rFonts w:cs="Times New Roman"/>
          <w:i/>
          <w:sz w:val="20"/>
          <w:lang w:val="tr-TR"/>
        </w:rPr>
      </w:pPr>
    </w:p>
    <w:p w:rsidR="00CA5BFB" w:rsidRPr="00F30023" w:rsidRDefault="00CA5BFB" w:rsidP="00CA5BFB">
      <w:pPr>
        <w:spacing w:line="240" w:lineRule="auto"/>
        <w:contextualSpacing/>
        <w:rPr>
          <w:rFonts w:cs="Times New Roman"/>
          <w:b/>
          <w:lang w:val="tr-TR"/>
        </w:rPr>
      </w:pPr>
      <w:r w:rsidRPr="00F30023">
        <w:rPr>
          <w:rFonts w:cs="Times New Roman"/>
          <w:b/>
          <w:lang w:val="tr-TR"/>
        </w:rPr>
        <w:t>Türkiye ekonomisi, 2003’ten 2013’e 10 yıllık periyodda %60 büyümüştür. İllerin 1992-2013 yılları arasındaki büyüme performansları</w:t>
      </w:r>
      <w:r>
        <w:rPr>
          <w:rFonts w:cs="Times New Roman"/>
          <w:b/>
          <w:lang w:val="tr-TR"/>
        </w:rPr>
        <w:t xml:space="preserve">na göre, </w:t>
      </w:r>
      <w:r w:rsidRPr="00F30023">
        <w:rPr>
          <w:rFonts w:cs="Times New Roman"/>
          <w:b/>
          <w:lang w:val="tr-TR"/>
        </w:rPr>
        <w:t xml:space="preserve">ekonomik büyüklüklerinden bağımsız olarak </w:t>
      </w:r>
      <w:r>
        <w:rPr>
          <w:rFonts w:cs="Times New Roman"/>
          <w:b/>
          <w:lang w:val="tr-TR"/>
        </w:rPr>
        <w:t>%60 oranında</w:t>
      </w:r>
      <w:r w:rsidRPr="00F30023">
        <w:rPr>
          <w:rFonts w:cs="Times New Roman"/>
          <w:b/>
          <w:lang w:val="tr-TR"/>
        </w:rPr>
        <w:t xml:space="preserve"> büyümeleri için ortalama 14 yıl geçmesi gerekmektedir</w:t>
      </w:r>
      <w:r>
        <w:rPr>
          <w:rFonts w:cs="Times New Roman"/>
          <w:b/>
          <w:lang w:val="tr-TR"/>
        </w:rPr>
        <w:t xml:space="preserve"> (Şekil 2</w:t>
      </w:r>
      <w:r w:rsidRPr="00F30023">
        <w:rPr>
          <w:rFonts w:cs="Times New Roman"/>
          <w:b/>
          <w:lang w:val="tr-TR"/>
        </w:rPr>
        <w:t xml:space="preserve">).  </w:t>
      </w:r>
      <w:r w:rsidRPr="00F30023">
        <w:rPr>
          <w:rFonts w:cs="Times New Roman"/>
          <w:lang w:val="tr-TR"/>
        </w:rPr>
        <w:t>İllerin 30’u 14 yıldan daha fazla sürede; 27’si 14 yılda; 24’ü ise 14 yıldan daha az sürede %60 büyüyebilmektedir. En az sürede (5 yıl) büyüyebilen ilimiz Nevşehir</w:t>
      </w:r>
      <w:r>
        <w:rPr>
          <w:rFonts w:cs="Times New Roman"/>
          <w:lang w:val="tr-TR"/>
        </w:rPr>
        <w:t xml:space="preserve">’ken, en uzun sürede (22) büyüyebilen </w:t>
      </w:r>
      <w:r w:rsidRPr="00F30023">
        <w:rPr>
          <w:rFonts w:cs="Times New Roman"/>
          <w:lang w:val="tr-TR"/>
        </w:rPr>
        <w:t xml:space="preserve">ilimiz Çanakkale’dir. Çanakkale’yi 20 yıllık büyüme süresiyle Hakkâri ve Adıyaman takip etmektedir. </w:t>
      </w:r>
    </w:p>
    <w:p w:rsidR="00CA5BFB" w:rsidRPr="0084201E" w:rsidRDefault="00CA5BFB" w:rsidP="00CA5BFB">
      <w:pPr>
        <w:spacing w:line="240" w:lineRule="auto"/>
        <w:ind w:left="-851" w:firstLine="993"/>
        <w:contextualSpacing/>
        <w:rPr>
          <w:rFonts w:cs="Times New Roman"/>
          <w:i/>
          <w:sz w:val="20"/>
          <w:lang w:val="tr-TR"/>
        </w:rPr>
      </w:pPr>
    </w:p>
    <w:p w:rsidR="00CA5BFB" w:rsidRPr="006108C4" w:rsidRDefault="00CA5BFB" w:rsidP="00CA5BFB">
      <w:pPr>
        <w:pStyle w:val="ResimYazs"/>
        <w:keepNext/>
        <w:ind w:left="426" w:firstLine="141"/>
        <w:rPr>
          <w:rFonts w:cs="Times New Roman"/>
          <w:color w:val="000000" w:themeColor="text1"/>
          <w:sz w:val="22"/>
          <w:lang w:val="tr-TR"/>
        </w:rPr>
      </w:pPr>
      <w:r w:rsidRPr="006108C4">
        <w:rPr>
          <w:rFonts w:cs="Times New Roman"/>
          <w:color w:val="000000" w:themeColor="text1"/>
          <w:sz w:val="22"/>
          <w:lang w:val="tr-TR"/>
        </w:rPr>
        <w:t xml:space="preserve">Şekil </w:t>
      </w:r>
      <w:r>
        <w:rPr>
          <w:rFonts w:cs="Times New Roman"/>
          <w:color w:val="000000" w:themeColor="text1"/>
          <w:sz w:val="22"/>
          <w:lang w:val="tr-TR"/>
        </w:rPr>
        <w:t>2</w:t>
      </w:r>
      <w:r w:rsidRPr="006108C4">
        <w:rPr>
          <w:rFonts w:cs="Times New Roman"/>
          <w:color w:val="000000" w:themeColor="text1"/>
          <w:sz w:val="22"/>
          <w:lang w:val="tr-TR"/>
        </w:rPr>
        <w:t>: %60 büyüme için geçen süre</w:t>
      </w:r>
    </w:p>
    <w:p w:rsidR="00CA5BFB" w:rsidRDefault="00CA5BFB" w:rsidP="00CA5BFB">
      <w:pPr>
        <w:pStyle w:val="Balk1"/>
        <w:ind w:left="567"/>
        <w:rPr>
          <w:rFonts w:ascii="Times New Roman" w:hAnsi="Times New Roman" w:cs="Times New Roman"/>
          <w:color w:val="000000" w:themeColor="text1"/>
          <w:lang w:val="tr-TR"/>
        </w:rPr>
      </w:pPr>
      <w:r>
        <w:rPr>
          <w:rFonts w:ascii="Times New Roman" w:hAnsi="Times New Roman" w:cs="Times New Roman"/>
          <w:noProof/>
          <w:color w:val="000000" w:themeColor="text1"/>
          <w:lang w:val="tr-TR" w:eastAsia="tr-TR"/>
        </w:rPr>
        <w:drawing>
          <wp:inline distT="0" distB="0" distL="0" distR="0" wp14:anchorId="75689607" wp14:editId="48507E15">
            <wp:extent cx="4813300" cy="2516058"/>
            <wp:effectExtent l="0" t="0" r="635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çen yıl.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13755" cy="2516296"/>
                    </a:xfrm>
                    <a:prstGeom prst="rect">
                      <a:avLst/>
                    </a:prstGeom>
                  </pic:spPr>
                </pic:pic>
              </a:graphicData>
            </a:graphic>
          </wp:inline>
        </w:drawing>
      </w:r>
    </w:p>
    <w:p w:rsidR="005E3A79" w:rsidRDefault="005E3A79"/>
    <w:sectPr w:rsidR="005E3A7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6A7" w:rsidRDefault="00FF66A7" w:rsidP="00CA5BFB">
      <w:pPr>
        <w:spacing w:after="0" w:line="240" w:lineRule="auto"/>
      </w:pPr>
      <w:r>
        <w:separator/>
      </w:r>
    </w:p>
  </w:endnote>
  <w:endnote w:type="continuationSeparator" w:id="0">
    <w:p w:rsidR="00FF66A7" w:rsidRDefault="00FF66A7" w:rsidP="00CA5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6A7" w:rsidRDefault="00FF66A7" w:rsidP="00CA5BFB">
      <w:pPr>
        <w:spacing w:after="0" w:line="240" w:lineRule="auto"/>
      </w:pPr>
      <w:r>
        <w:separator/>
      </w:r>
    </w:p>
  </w:footnote>
  <w:footnote w:type="continuationSeparator" w:id="0">
    <w:p w:rsidR="00FF66A7" w:rsidRDefault="00FF66A7" w:rsidP="00CA5BFB">
      <w:pPr>
        <w:spacing w:after="0" w:line="240" w:lineRule="auto"/>
      </w:pPr>
      <w:r>
        <w:continuationSeparator/>
      </w:r>
    </w:p>
  </w:footnote>
  <w:footnote w:id="1">
    <w:p w:rsidR="00CA5BFB" w:rsidRPr="006D61D4" w:rsidRDefault="00CA5BFB" w:rsidP="00CA5BFB">
      <w:pPr>
        <w:pStyle w:val="DipnotMetni"/>
        <w:rPr>
          <w:rFonts w:cs="Times New Roman"/>
          <w:lang w:val="tr-TR"/>
        </w:rPr>
      </w:pPr>
      <w:r w:rsidRPr="006D61D4">
        <w:rPr>
          <w:rStyle w:val="DipnotBavurusu"/>
          <w:rFonts w:cs="Times New Roman"/>
        </w:rPr>
        <w:footnoteRef/>
      </w:r>
      <w:r w:rsidRPr="006D61D4">
        <w:rPr>
          <w:rFonts w:cs="Times New Roman"/>
        </w:rPr>
        <w:t xml:space="preserve"> </w:t>
      </w:r>
      <w:r w:rsidRPr="006D61D4">
        <w:rPr>
          <w:rFonts w:cs="Times New Roman"/>
          <w:lang w:val="tr-TR"/>
        </w:rPr>
        <w:t xml:space="preserve">Karşılaştırma, Dünya Bankası’nın yayınladığı GSYH (sabit 2005 $) verileri üzerinden yapılmıştır. </w:t>
      </w:r>
    </w:p>
  </w:footnote>
  <w:footnote w:id="2">
    <w:p w:rsidR="00CA5BFB" w:rsidRPr="006D61D4" w:rsidRDefault="00CA5BFB" w:rsidP="00CA5BFB">
      <w:pPr>
        <w:pStyle w:val="DipnotMetni"/>
        <w:rPr>
          <w:rFonts w:cs="Times New Roman"/>
          <w:lang w:val="tr-TR"/>
        </w:rPr>
      </w:pPr>
      <w:r w:rsidRPr="006D61D4">
        <w:rPr>
          <w:rStyle w:val="DipnotBavurusu"/>
          <w:rFonts w:cs="Times New Roman"/>
        </w:rPr>
        <w:footnoteRef/>
      </w:r>
      <w:r w:rsidRPr="006D61D4">
        <w:rPr>
          <w:rFonts w:cs="Times New Roman"/>
        </w:rPr>
        <w:t xml:space="preserve"> </w:t>
      </w:r>
      <w:r w:rsidRPr="006D61D4">
        <w:rPr>
          <w:rFonts w:cs="Times New Roman"/>
          <w:lang w:val="tr-TR"/>
        </w:rPr>
        <w:t xml:space="preserve">Yalova 1995’te; Osmaniye 1996’da ve Düzce 1999’da il statüsüne kavuşmuştur. </w:t>
      </w:r>
    </w:p>
  </w:footnote>
  <w:footnote w:id="3">
    <w:p w:rsidR="00CA5BFB" w:rsidRPr="006D61D4" w:rsidRDefault="00CA5BFB" w:rsidP="00CA5BFB">
      <w:pPr>
        <w:pStyle w:val="DipnotMetni"/>
        <w:rPr>
          <w:lang w:val="tr-TR"/>
        </w:rPr>
      </w:pPr>
      <w:r w:rsidRPr="006D61D4">
        <w:rPr>
          <w:rStyle w:val="DipnotBavurusu"/>
          <w:rFonts w:cs="Times New Roman"/>
        </w:rPr>
        <w:footnoteRef/>
      </w:r>
      <w:r w:rsidRPr="006D61D4">
        <w:rPr>
          <w:rFonts w:cs="Times New Roman"/>
        </w:rPr>
        <w:t xml:space="preserve"> </w:t>
      </w:r>
      <w:r w:rsidRPr="006D61D4">
        <w:rPr>
          <w:rFonts w:cs="Times New Roman"/>
          <w:lang w:val="tr-TR"/>
        </w:rPr>
        <w:t>2001-2013 yılları arasındaki büyüme dönemliktir.</w:t>
      </w:r>
      <w:r>
        <w:rPr>
          <w:lang w:val="tr-TR"/>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BFB"/>
    <w:rsid w:val="005E3A79"/>
    <w:rsid w:val="00CA5BFB"/>
    <w:rsid w:val="00D45EA8"/>
    <w:rsid w:val="00EE49CA"/>
    <w:rsid w:val="00FF66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BFB"/>
    <w:pPr>
      <w:jc w:val="both"/>
    </w:pPr>
    <w:rPr>
      <w:rFonts w:ascii="Times New Roman" w:hAnsi="Times New Roman"/>
      <w:lang w:val="en-US"/>
    </w:rPr>
  </w:style>
  <w:style w:type="paragraph" w:styleId="Balk1">
    <w:name w:val="heading 1"/>
    <w:basedOn w:val="Normal"/>
    <w:next w:val="Normal"/>
    <w:link w:val="Balk1Char"/>
    <w:uiPriority w:val="9"/>
    <w:qFormat/>
    <w:rsid w:val="00CA5B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A5BFB"/>
    <w:rPr>
      <w:rFonts w:asciiTheme="majorHAnsi" w:eastAsiaTheme="majorEastAsia" w:hAnsiTheme="majorHAnsi" w:cstheme="majorBidi"/>
      <w:b/>
      <w:bCs/>
      <w:color w:val="365F91" w:themeColor="accent1" w:themeShade="BF"/>
      <w:sz w:val="28"/>
      <w:szCs w:val="28"/>
      <w:lang w:val="en-US"/>
    </w:rPr>
  </w:style>
  <w:style w:type="character" w:styleId="DipnotBavurusu">
    <w:name w:val="footnote reference"/>
    <w:basedOn w:val="VarsaylanParagrafYazTipi"/>
    <w:uiPriority w:val="99"/>
    <w:semiHidden/>
    <w:unhideWhenUsed/>
    <w:rsid w:val="00CA5BFB"/>
    <w:rPr>
      <w:vertAlign w:val="superscript"/>
    </w:rPr>
  </w:style>
  <w:style w:type="paragraph" w:styleId="DipnotMetni">
    <w:name w:val="footnote text"/>
    <w:basedOn w:val="Normal"/>
    <w:link w:val="DipnotMetniChar"/>
    <w:uiPriority w:val="99"/>
    <w:semiHidden/>
    <w:unhideWhenUsed/>
    <w:rsid w:val="00CA5BFB"/>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CA5BFB"/>
    <w:rPr>
      <w:rFonts w:ascii="Times New Roman" w:hAnsi="Times New Roman"/>
      <w:sz w:val="20"/>
      <w:szCs w:val="20"/>
      <w:lang w:val="en-US"/>
    </w:rPr>
  </w:style>
  <w:style w:type="paragraph" w:styleId="ResimYazs">
    <w:name w:val="caption"/>
    <w:basedOn w:val="Normal"/>
    <w:next w:val="Normal"/>
    <w:uiPriority w:val="35"/>
    <w:semiHidden/>
    <w:unhideWhenUsed/>
    <w:qFormat/>
    <w:rsid w:val="00CA5BFB"/>
    <w:pPr>
      <w:spacing w:line="240" w:lineRule="auto"/>
    </w:pPr>
    <w:rPr>
      <w:b/>
      <w:bCs/>
      <w:color w:val="4F81BD" w:themeColor="accent1"/>
      <w:sz w:val="18"/>
      <w:szCs w:val="18"/>
    </w:rPr>
  </w:style>
  <w:style w:type="paragraph" w:styleId="BalonMetni">
    <w:name w:val="Balloon Text"/>
    <w:basedOn w:val="Normal"/>
    <w:link w:val="BalonMetniChar"/>
    <w:uiPriority w:val="99"/>
    <w:semiHidden/>
    <w:unhideWhenUsed/>
    <w:rsid w:val="00CA5BF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A5BFB"/>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BFB"/>
    <w:pPr>
      <w:jc w:val="both"/>
    </w:pPr>
    <w:rPr>
      <w:rFonts w:ascii="Times New Roman" w:hAnsi="Times New Roman"/>
      <w:lang w:val="en-US"/>
    </w:rPr>
  </w:style>
  <w:style w:type="paragraph" w:styleId="Balk1">
    <w:name w:val="heading 1"/>
    <w:basedOn w:val="Normal"/>
    <w:next w:val="Normal"/>
    <w:link w:val="Balk1Char"/>
    <w:uiPriority w:val="9"/>
    <w:qFormat/>
    <w:rsid w:val="00CA5B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A5BFB"/>
    <w:rPr>
      <w:rFonts w:asciiTheme="majorHAnsi" w:eastAsiaTheme="majorEastAsia" w:hAnsiTheme="majorHAnsi" w:cstheme="majorBidi"/>
      <w:b/>
      <w:bCs/>
      <w:color w:val="365F91" w:themeColor="accent1" w:themeShade="BF"/>
      <w:sz w:val="28"/>
      <w:szCs w:val="28"/>
      <w:lang w:val="en-US"/>
    </w:rPr>
  </w:style>
  <w:style w:type="character" w:styleId="DipnotBavurusu">
    <w:name w:val="footnote reference"/>
    <w:basedOn w:val="VarsaylanParagrafYazTipi"/>
    <w:uiPriority w:val="99"/>
    <w:semiHidden/>
    <w:unhideWhenUsed/>
    <w:rsid w:val="00CA5BFB"/>
    <w:rPr>
      <w:vertAlign w:val="superscript"/>
    </w:rPr>
  </w:style>
  <w:style w:type="paragraph" w:styleId="DipnotMetni">
    <w:name w:val="footnote text"/>
    <w:basedOn w:val="Normal"/>
    <w:link w:val="DipnotMetniChar"/>
    <w:uiPriority w:val="99"/>
    <w:semiHidden/>
    <w:unhideWhenUsed/>
    <w:rsid w:val="00CA5BFB"/>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CA5BFB"/>
    <w:rPr>
      <w:rFonts w:ascii="Times New Roman" w:hAnsi="Times New Roman"/>
      <w:sz w:val="20"/>
      <w:szCs w:val="20"/>
      <w:lang w:val="en-US"/>
    </w:rPr>
  </w:style>
  <w:style w:type="paragraph" w:styleId="ResimYazs">
    <w:name w:val="caption"/>
    <w:basedOn w:val="Normal"/>
    <w:next w:val="Normal"/>
    <w:uiPriority w:val="35"/>
    <w:semiHidden/>
    <w:unhideWhenUsed/>
    <w:qFormat/>
    <w:rsid w:val="00CA5BFB"/>
    <w:pPr>
      <w:spacing w:line="240" w:lineRule="auto"/>
    </w:pPr>
    <w:rPr>
      <w:b/>
      <w:bCs/>
      <w:color w:val="4F81BD" w:themeColor="accent1"/>
      <w:sz w:val="18"/>
      <w:szCs w:val="18"/>
    </w:rPr>
  </w:style>
  <w:style w:type="paragraph" w:styleId="BalonMetni">
    <w:name w:val="Balloon Text"/>
    <w:basedOn w:val="Normal"/>
    <w:link w:val="BalonMetniChar"/>
    <w:uiPriority w:val="99"/>
    <w:semiHidden/>
    <w:unhideWhenUsed/>
    <w:rsid w:val="00CA5BF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A5BFB"/>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C5D83-6C52-4DAC-A6EA-466AD9646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489</Words>
  <Characters>2790</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Asus8-PC</dc:creator>
  <cp:lastModifiedBy>Asus8-PC</cp:lastModifiedBy>
  <cp:revision>2</cp:revision>
  <dcterms:created xsi:type="dcterms:W3CDTF">2016-05-03T08:49:00Z</dcterms:created>
  <dcterms:modified xsi:type="dcterms:W3CDTF">2016-05-03T09:13:00Z</dcterms:modified>
</cp:coreProperties>
</file>